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b/>
          <w:bCs/>
          <w:color w:val="000000"/>
          <w:sz w:val="20"/>
          <w:szCs w:val="20"/>
          <w:lang w:eastAsia="it-IT"/>
        </w:rPr>
        <w:t>Art.</w:t>
      </w:r>
      <w:bookmarkStart w:id="0" w:name="26"/>
      <w:r w:rsidRPr="008C3819">
        <w:rPr>
          <w:rFonts w:ascii="Tahoma" w:eastAsia="Times New Roman" w:hAnsi="Tahoma" w:cs="Tahoma"/>
          <w:b/>
          <w:bCs/>
          <w:color w:val="000000"/>
          <w:sz w:val="20"/>
          <w:lang w:eastAsia="it-IT"/>
        </w:rPr>
        <w:t> </w:t>
      </w:r>
      <w:r w:rsidRPr="008C3819">
        <w:rPr>
          <w:rFonts w:ascii="Tahoma" w:eastAsia="Times New Roman" w:hAnsi="Tahoma" w:cs="Tahoma"/>
          <w:b/>
          <w:bCs/>
          <w:color w:val="000000"/>
          <w:sz w:val="20"/>
          <w:szCs w:val="20"/>
          <w:lang w:eastAsia="it-IT"/>
        </w:rPr>
        <w:t>26</w:t>
      </w:r>
      <w:bookmarkEnd w:id="0"/>
      <w:r w:rsidRPr="008C3819">
        <w:rPr>
          <w:rFonts w:ascii="Tahoma" w:eastAsia="Times New Roman" w:hAnsi="Tahoma" w:cs="Tahoma"/>
          <w:b/>
          <w:bCs/>
          <w:color w:val="000000"/>
          <w:sz w:val="20"/>
          <w:szCs w:val="20"/>
          <w:lang w:eastAsia="it-IT"/>
        </w:rPr>
        <w:t>. Obblighi di pubblicazione degli atti di concessione di sovvenzioni, contributi, sussidi e attribuzione di vantaggi economici a persone fisiche ed enti pubblici e privati.</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1. Le pubbliche amministrazioni pubblicano gli atti con i quali sono determinati, ai sensi dell'</w:t>
      </w:r>
      <w:hyperlink r:id="rId4" w:anchor="12" w:history="1">
        <w:r w:rsidRPr="008C3819">
          <w:rPr>
            <w:rFonts w:ascii="Tahoma" w:eastAsia="Times New Roman" w:hAnsi="Tahoma" w:cs="Tahoma"/>
            <w:color w:val="0000FF"/>
            <w:sz w:val="20"/>
            <w:u w:val="single"/>
            <w:lang w:eastAsia="it-IT"/>
          </w:rPr>
          <w:t>articolo 12 della legge 7 agosto 1990, n. 241</w:t>
        </w:r>
      </w:hyperlink>
      <w:r w:rsidRPr="008C3819">
        <w:rPr>
          <w:rFonts w:ascii="Tahoma" w:eastAsia="Times New Roman" w:hAnsi="Tahoma" w:cs="Tahoma"/>
          <w:color w:val="000000"/>
          <w:sz w:val="20"/>
          <w:szCs w:val="20"/>
          <w:lang w:eastAsia="it-IT"/>
        </w:rPr>
        <w:t>, i criteri e le modalità cui le amministrazioni stesse devono attenersi per la concessione di sovvenzioni, contributi, sussidi ed ausili finanziari e per l'attribuzione di vantaggi economici di qualunque genere a persone ed enti pubblici e privati.</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2. Le pubbliche amministrazioni pubblicano gli atti di concessione delle sovvenzioni, contributi, sussidi ed ausili finanziari alle imprese, e comunque di vantaggi economici di qualunque genere a persone ed enti pubblici e privati ai sensi del citato</w:t>
      </w:r>
      <w:r w:rsidRPr="008C3819">
        <w:rPr>
          <w:rFonts w:ascii="Tahoma" w:eastAsia="Times New Roman" w:hAnsi="Tahoma" w:cs="Tahoma"/>
          <w:color w:val="000000"/>
          <w:sz w:val="20"/>
          <w:lang w:eastAsia="it-IT"/>
        </w:rPr>
        <w:t> </w:t>
      </w:r>
      <w:hyperlink r:id="rId5" w:anchor="12" w:history="1">
        <w:r w:rsidRPr="008C3819">
          <w:rPr>
            <w:rFonts w:ascii="Tahoma" w:eastAsia="Times New Roman" w:hAnsi="Tahoma" w:cs="Tahoma"/>
            <w:color w:val="0000FF"/>
            <w:sz w:val="20"/>
            <w:u w:val="single"/>
            <w:lang w:eastAsia="it-IT"/>
          </w:rPr>
          <w:t>articolo 12 della legge n. 241 del 1990</w:t>
        </w:r>
      </w:hyperlink>
      <w:r w:rsidRPr="008C3819">
        <w:rPr>
          <w:rFonts w:ascii="Tahoma" w:eastAsia="Times New Roman" w:hAnsi="Tahoma" w:cs="Tahoma"/>
          <w:color w:val="000000"/>
          <w:sz w:val="20"/>
          <w:szCs w:val="20"/>
          <w:lang w:eastAsia="it-IT"/>
        </w:rPr>
        <w:t>, di importo superiore a mille euro.</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3. La pubblicazione ai sensi del presente articolo costituisce condizione legale di efficacia dei provvedimenti che dispongano concessioni e attribuzioni di importo complessivo superiore a mille euro nel corso dell'anno solare al medesimo beneficiario; la sua eventuale omissione o incompletezza è rilevata d'ufficio dagli organi dirigenziali, sotto la propria responsabilità amministrativa, patrimoniale e contabile per l'indebita concessione o attribuzione del beneficio economico.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w:t>
      </w:r>
      <w:hyperlink r:id="rId6" w:anchor="030" w:history="1">
        <w:r w:rsidRPr="008C3819">
          <w:rPr>
            <w:rFonts w:ascii="Tahoma" w:eastAsia="Times New Roman" w:hAnsi="Tahoma" w:cs="Tahoma"/>
            <w:color w:val="0000FF"/>
            <w:sz w:val="20"/>
            <w:u w:val="single"/>
            <w:lang w:eastAsia="it-IT"/>
          </w:rPr>
          <w:t>articolo 30 del decreto legislativo 2 luglio 2010, n. 104</w:t>
        </w:r>
      </w:hyperlink>
      <w:r w:rsidRPr="008C3819">
        <w:rPr>
          <w:rFonts w:ascii="Tahoma" w:eastAsia="Times New Roman" w:hAnsi="Tahoma" w:cs="Tahoma"/>
          <w:color w:val="000000"/>
          <w:sz w:val="20"/>
          <w:szCs w:val="20"/>
          <w:lang w:eastAsia="it-IT"/>
        </w:rPr>
        <w:t>.</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4. 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b/>
          <w:bCs/>
          <w:color w:val="000000"/>
          <w:sz w:val="20"/>
          <w:szCs w:val="20"/>
          <w:lang w:eastAsia="it-IT"/>
        </w:rPr>
        <w:t>Art.</w:t>
      </w:r>
      <w:r w:rsidRPr="008C3819">
        <w:rPr>
          <w:rFonts w:ascii="Tahoma" w:eastAsia="Times New Roman" w:hAnsi="Tahoma" w:cs="Tahoma"/>
          <w:b/>
          <w:bCs/>
          <w:color w:val="000000"/>
          <w:sz w:val="20"/>
          <w:lang w:eastAsia="it-IT"/>
        </w:rPr>
        <w:t> </w:t>
      </w:r>
      <w:bookmarkStart w:id="1" w:name="27"/>
      <w:r w:rsidRPr="008C3819">
        <w:rPr>
          <w:rFonts w:ascii="Tahoma" w:eastAsia="Times New Roman" w:hAnsi="Tahoma" w:cs="Tahoma"/>
          <w:b/>
          <w:bCs/>
          <w:color w:val="000000"/>
          <w:sz w:val="20"/>
          <w:szCs w:val="20"/>
          <w:lang w:eastAsia="it-IT"/>
        </w:rPr>
        <w:t>27</w:t>
      </w:r>
      <w:bookmarkEnd w:id="1"/>
      <w:r w:rsidRPr="008C3819">
        <w:rPr>
          <w:rFonts w:ascii="Tahoma" w:eastAsia="Times New Roman" w:hAnsi="Tahoma" w:cs="Tahoma"/>
          <w:b/>
          <w:bCs/>
          <w:color w:val="000000"/>
          <w:sz w:val="20"/>
          <w:szCs w:val="20"/>
          <w:lang w:eastAsia="it-IT"/>
        </w:rPr>
        <w:t>. Obblighi di pubblicazione dell'elenco dei soggetti beneficiari</w:t>
      </w:r>
      <w:r w:rsidRPr="008C3819">
        <w:rPr>
          <w:rFonts w:ascii="Tahoma" w:eastAsia="Times New Roman" w:hAnsi="Tahoma" w:cs="Tahoma"/>
          <w:b/>
          <w:bCs/>
          <w:color w:val="000000"/>
          <w:sz w:val="20"/>
          <w:lang w:eastAsia="it-IT"/>
        </w:rPr>
        <w:t> </w:t>
      </w:r>
      <w:r w:rsidRPr="008C3819">
        <w:rPr>
          <w:rFonts w:ascii="Tahoma" w:eastAsia="Times New Roman" w:hAnsi="Tahoma" w:cs="Tahoma"/>
          <w:color w:val="000000"/>
          <w:sz w:val="20"/>
          <w:szCs w:val="20"/>
          <w:lang w:eastAsia="it-IT"/>
        </w:rPr>
        <w:br/>
      </w:r>
      <w:r w:rsidRPr="008C3819">
        <w:rPr>
          <w:rFonts w:ascii="Tahoma" w:eastAsia="Times New Roman" w:hAnsi="Tahoma" w:cs="Tahoma"/>
          <w:color w:val="000000"/>
          <w:sz w:val="20"/>
          <w:szCs w:val="20"/>
          <w:lang w:eastAsia="it-IT"/>
        </w:rPr>
        <w:br/>
        <w:t>1. La pubblicazione di cui all'articolo 26, comma 2, comprende necessariamente, ai fini del comma 3 del medesimo articolo:</w:t>
      </w:r>
    </w:p>
    <w:p w:rsidR="0051642D" w:rsidRPr="008C3819" w:rsidRDefault="0051642D" w:rsidP="0051642D">
      <w:pPr>
        <w:spacing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a) il nome dell'impresa o dell'ente e i rispettivi dati fiscali o il nome di altro soggetto beneficiario;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b) l'importo del vantaggio economico corrisposto;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c) la norma o il titolo a base dell'attribuzione;</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d) l'ufficio e il funzionario o dirigente responsabile del relativo procedimento amministrativo;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e) la modalità seguita per l'individuazione del beneficiario;</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f) il link al progetto selezionato e al curriculum del soggetto incaricato.</w:t>
      </w:r>
    </w:p>
    <w:p w:rsidR="0051642D" w:rsidRPr="008C3819" w:rsidRDefault="0051642D" w:rsidP="005164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2. Le informazioni di cui al comma 1 sono riportate, nell'ambito della sezione «Amministrazione trasparente» e secondo modalità di facile consultazione, in formato tabellare aperto che ne consente l'esportazione, il trattamento e il riutilizzo ai sensi dell'</w:t>
      </w:r>
      <w:hyperlink r:id="rId7" w:anchor="07" w:history="1">
        <w:r w:rsidRPr="008C3819">
          <w:rPr>
            <w:rFonts w:ascii="Tahoma" w:eastAsia="Times New Roman" w:hAnsi="Tahoma" w:cs="Tahoma"/>
            <w:color w:val="0000FF"/>
            <w:sz w:val="20"/>
            <w:u w:val="single"/>
            <w:lang w:eastAsia="it-IT"/>
          </w:rPr>
          <w:t>articolo 7</w:t>
        </w:r>
      </w:hyperlink>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t>e devono essere organizzate annualmente in unico elenco per singola amministrazione.</w:t>
      </w:r>
    </w:p>
    <w:p w:rsidR="00811FB9" w:rsidRDefault="00811FB9"/>
    <w:sectPr w:rsidR="00811FB9" w:rsidSect="00811F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51642D"/>
    <w:rsid w:val="003F0857"/>
    <w:rsid w:val="0051642D"/>
    <w:rsid w:val="00811FB9"/>
    <w:rsid w:val="00E13D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4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settiegatti.eu/info/norme/statali/2013_00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2010_0104.htm" TargetMode="External"/><Relationship Id="rId5" Type="http://schemas.openxmlformats.org/officeDocument/2006/relationships/hyperlink" Target="http://www.bosettiegatti.eu/info/norme/statali/1990_0241.htm" TargetMode="External"/><Relationship Id="rId4" Type="http://schemas.openxmlformats.org/officeDocument/2006/relationships/hyperlink" Target="http://www.bosettiegatti.eu/info/norme/statali/1990_0241.ht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2013-11-30T17:21:00Z</dcterms:created>
  <dcterms:modified xsi:type="dcterms:W3CDTF">2013-11-30T17:21:00Z</dcterms:modified>
</cp:coreProperties>
</file>