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Art.</w:t>
      </w:r>
      <w:r w:rsidRPr="008C3819">
        <w:rPr>
          <w:rFonts w:ascii="Tahoma" w:eastAsia="Times New Roman" w:hAnsi="Tahoma" w:cs="Tahoma"/>
          <w:b/>
          <w:bCs/>
          <w:color w:val="000000"/>
          <w:sz w:val="20"/>
          <w:lang w:eastAsia="it-IT"/>
        </w:rPr>
        <w:t> </w:t>
      </w:r>
      <w:bookmarkStart w:id="0" w:name="22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22</w:t>
      </w:r>
      <w:bookmarkEnd w:id="0"/>
      <w:r w:rsidRPr="008C3819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it-IT"/>
        </w:rPr>
        <w:t>. Obblighi di pubblicazione dei dati relativi agli enti pubblici vigilati, e agli enti di diritto privato in controllo pubblico, nonché alle  partecipazioni in società di diritto privato.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1. Ciascuna amministrazione pubblica e aggiorna annualmente:</w:t>
      </w:r>
    </w:p>
    <w:p w:rsidR="00E54A52" w:rsidRPr="008C3819" w:rsidRDefault="00E54A52" w:rsidP="00E54A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a) l'elenco degli enti pubblici, comunque denominati, istituiti, vigilati e finanziati dalla amministrazione medesima ovvero per i quali l'amministrazione abbia il potere di nomina degli amministratori dell'ente, con l'elencazione delle funzioni attribuite e delle attività svolte in favore dell'amministrazione o delle attività di servizio pubblico affidate;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b) l'elenco delle società di cui detiene direttamente quote di partecipazione anche minoritaria indicandone l'entità, con l'indicazione delle funzioni attribuite e delle attività svolte in favore dell'amministrazione o delle attività di servizio pubblico affidate;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c) l'elenco degli enti di diritto privato, comunque denominati, in controllo dell'amministrazione, con l'indicazione delle funzioni attribuite e delle attività svolte in favore dell'amministrazione o delle attività di servizio pubblico affidate. Ai fini delle presenti disposizioni sono enti di diritto privato in controllo pubblico gli enti di diritto privato sottoposti a controllo da parte di amministrazioni pubbliche, oppure gli enti costituiti o vigilati da pubbliche amministrazioni nei quali siano a queste riconosciuti,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anche in assenza di una partecipazione azionaria, poteri di nomina dei vertici o dei componenti degli organi;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br/>
        <w:t>d) una o più rappresentazioni grafiche che evidenziano i rapporti tra l'amministrazione e gli enti di cui al precedente comma.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2. Per ciascuno degli enti di cui alle lettere da a) a c) del comma 1 sono pubblicati i dati relativi alla ragione sociale, alla misura della eventuale partecipazione dell'amministrazione, alla durata dell'impegno, all'onere complessivo a qualsiasi titolo gravante per l'anno sul bilancio dell'amministrazione, al numero dei rappresentanti dell'amministrazione negli organi di governo, al trattamento economico complessivo a ciascuno di essi spettante, ai risultati di bilancio degli ultimi tre esercizi finanziari. Sono altresì pubblicati i dati relativi agli incarichi di amministratore dell'ente e il relativo trattamento economico complessivo. 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3. Nel sito dell'amministrazione è inserito il collegamento con i siti istituzionali degli enti di cui al comma 1, nei quali sono pubblicati i dati relativi ai componenti degli organi di indirizzo e ai soggetti titolari di incarico, in applicazione degli</w:t>
      </w:r>
      <w:r w:rsidRPr="008C3819">
        <w:rPr>
          <w:rFonts w:ascii="Tahoma" w:eastAsia="Times New Roman" w:hAnsi="Tahoma" w:cs="Tahoma"/>
          <w:color w:val="000000"/>
          <w:sz w:val="20"/>
          <w:lang w:eastAsia="it-IT"/>
        </w:rPr>
        <w:t> </w:t>
      </w:r>
      <w:hyperlink r:id="rId4" w:anchor="14" w:history="1">
        <w:r w:rsidRPr="008C3819">
          <w:rPr>
            <w:rFonts w:ascii="Tahoma" w:eastAsia="Times New Roman" w:hAnsi="Tahoma" w:cs="Tahoma"/>
            <w:color w:val="0000FF"/>
            <w:sz w:val="20"/>
            <w:u w:val="single"/>
            <w:lang w:eastAsia="it-IT"/>
          </w:rPr>
          <w:t>articoli 14 e 15</w:t>
        </w:r>
      </w:hyperlink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4. Nel caso di mancata o incompleta pubblicazione dei dati relativi agli enti di cui al comma 1, è vietata l'erogazione in loro favore di somme a qualsivoglia titolo da parte dell'amministrazione interessata.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5. Le amministrazioni titolari di partecipazioni di controllo promuovono l'applicazione dei principi di trasparenza di cui ai commi 1, lettera b), e 2, da parte delle società direttamente controllate nei confronti delle società indirettamente controllate dalle medesime amministrazioni.</w:t>
      </w:r>
    </w:p>
    <w:p w:rsidR="00E54A52" w:rsidRPr="008C3819" w:rsidRDefault="00E54A52" w:rsidP="00E54A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C381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6. Le disposizioni di cui al presente articolo non trovano applicazione nei confronti delle società, partecipate da amministrazioni pubbliche, quotate in mercati regolamentati e loro controllate.</w:t>
      </w:r>
    </w:p>
    <w:p w:rsidR="00811FB9" w:rsidRDefault="00811FB9"/>
    <w:sectPr w:rsidR="00811FB9" w:rsidSect="00811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54A52"/>
    <w:rsid w:val="000D0C12"/>
    <w:rsid w:val="00564F43"/>
    <w:rsid w:val="00811FB9"/>
    <w:rsid w:val="00CC21F5"/>
    <w:rsid w:val="00D31725"/>
    <w:rsid w:val="00E54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A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settiegatti.eu/info/norme/statali/2013_0033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2013-11-30T16:34:00Z</dcterms:created>
  <dcterms:modified xsi:type="dcterms:W3CDTF">2013-11-30T16:34:00Z</dcterms:modified>
</cp:coreProperties>
</file>