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42D" w:rsidRPr="008C3819" w:rsidRDefault="0051642D" w:rsidP="005164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8C3819">
        <w:rPr>
          <w:rFonts w:ascii="Tahoma" w:eastAsia="Times New Roman" w:hAnsi="Tahoma" w:cs="Tahoma"/>
          <w:b/>
          <w:bCs/>
          <w:color w:val="000000"/>
          <w:sz w:val="20"/>
          <w:szCs w:val="20"/>
          <w:lang w:eastAsia="it-IT"/>
        </w:rPr>
        <w:t>Art.</w:t>
      </w:r>
      <w:bookmarkStart w:id="0" w:name="26"/>
      <w:r w:rsidRPr="008C3819">
        <w:rPr>
          <w:rFonts w:ascii="Tahoma" w:eastAsia="Times New Roman" w:hAnsi="Tahoma" w:cs="Tahoma"/>
          <w:b/>
          <w:bCs/>
          <w:color w:val="000000"/>
          <w:sz w:val="20"/>
          <w:lang w:eastAsia="it-IT"/>
        </w:rPr>
        <w:t> </w:t>
      </w:r>
      <w:r w:rsidRPr="008C3819">
        <w:rPr>
          <w:rFonts w:ascii="Tahoma" w:eastAsia="Times New Roman" w:hAnsi="Tahoma" w:cs="Tahoma"/>
          <w:b/>
          <w:bCs/>
          <w:color w:val="000000"/>
          <w:sz w:val="20"/>
          <w:szCs w:val="20"/>
          <w:lang w:eastAsia="it-IT"/>
        </w:rPr>
        <w:t>26</w:t>
      </w:r>
      <w:bookmarkEnd w:id="0"/>
      <w:r w:rsidRPr="008C3819">
        <w:rPr>
          <w:rFonts w:ascii="Tahoma" w:eastAsia="Times New Roman" w:hAnsi="Tahoma" w:cs="Tahoma"/>
          <w:b/>
          <w:bCs/>
          <w:color w:val="000000"/>
          <w:sz w:val="20"/>
          <w:szCs w:val="20"/>
          <w:lang w:eastAsia="it-IT"/>
        </w:rPr>
        <w:t>. Obblighi di pubblicazione degli atti di concessione di sovvenzioni, contributi, sussidi e attribuzione di vantaggi economici a persone fisiche ed enti pubblici e privati.</w:t>
      </w:r>
    </w:p>
    <w:p w:rsidR="0051642D" w:rsidRPr="008C3819" w:rsidRDefault="0051642D" w:rsidP="005164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8C3819">
        <w:rPr>
          <w:rFonts w:ascii="Tahoma" w:eastAsia="Times New Roman" w:hAnsi="Tahoma" w:cs="Tahoma"/>
          <w:color w:val="000000"/>
          <w:sz w:val="20"/>
          <w:szCs w:val="20"/>
          <w:lang w:eastAsia="it-IT"/>
        </w:rPr>
        <w:t>1. Le pubbliche amministrazioni pubblicano gli atti con i quali sono determinati, ai sensi dell'</w:t>
      </w:r>
      <w:hyperlink r:id="rId4" w:anchor="12" w:history="1">
        <w:r w:rsidRPr="008C3819">
          <w:rPr>
            <w:rFonts w:ascii="Tahoma" w:eastAsia="Times New Roman" w:hAnsi="Tahoma" w:cs="Tahoma"/>
            <w:color w:val="0000FF"/>
            <w:sz w:val="20"/>
            <w:u w:val="single"/>
            <w:lang w:eastAsia="it-IT"/>
          </w:rPr>
          <w:t>articolo 12 della legge 7 agosto 1990, n. 241</w:t>
        </w:r>
      </w:hyperlink>
      <w:r w:rsidRPr="008C3819">
        <w:rPr>
          <w:rFonts w:ascii="Tahoma" w:eastAsia="Times New Roman" w:hAnsi="Tahoma" w:cs="Tahoma"/>
          <w:color w:val="000000"/>
          <w:sz w:val="20"/>
          <w:szCs w:val="20"/>
          <w:lang w:eastAsia="it-IT"/>
        </w:rPr>
        <w:t>, i criteri e le modalità cui le amministrazioni stesse devono attenersi per la concessione di sovvenzioni, contributi, sussidi ed ausili finanziari e per l'attribuzione di vantaggi economici di qualunque genere a persone ed enti pubblici e privati.</w:t>
      </w:r>
    </w:p>
    <w:p w:rsidR="0051642D" w:rsidRPr="008C3819" w:rsidRDefault="0051642D" w:rsidP="005164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8C3819">
        <w:rPr>
          <w:rFonts w:ascii="Tahoma" w:eastAsia="Times New Roman" w:hAnsi="Tahoma" w:cs="Tahoma"/>
          <w:color w:val="000000"/>
          <w:sz w:val="20"/>
          <w:szCs w:val="20"/>
          <w:lang w:eastAsia="it-IT"/>
        </w:rPr>
        <w:t>2. Le pubbliche amministrazioni pubblicano gli atti di concessione delle sovvenzioni, contributi, sussidi ed ausili finanziari alle imprese, e comunque di vantaggi economici di qualunque genere a persone ed enti pubblici e privati ai sensi del citato</w:t>
      </w:r>
      <w:r w:rsidRPr="008C3819">
        <w:rPr>
          <w:rFonts w:ascii="Tahoma" w:eastAsia="Times New Roman" w:hAnsi="Tahoma" w:cs="Tahoma"/>
          <w:color w:val="000000"/>
          <w:sz w:val="20"/>
          <w:lang w:eastAsia="it-IT"/>
        </w:rPr>
        <w:t> </w:t>
      </w:r>
      <w:hyperlink r:id="rId5" w:anchor="12" w:history="1">
        <w:r w:rsidRPr="008C3819">
          <w:rPr>
            <w:rFonts w:ascii="Tahoma" w:eastAsia="Times New Roman" w:hAnsi="Tahoma" w:cs="Tahoma"/>
            <w:color w:val="0000FF"/>
            <w:sz w:val="20"/>
            <w:u w:val="single"/>
            <w:lang w:eastAsia="it-IT"/>
          </w:rPr>
          <w:t>articolo 12 della legge n. 241 del 1990</w:t>
        </w:r>
      </w:hyperlink>
      <w:r w:rsidRPr="008C3819">
        <w:rPr>
          <w:rFonts w:ascii="Tahoma" w:eastAsia="Times New Roman" w:hAnsi="Tahoma" w:cs="Tahoma"/>
          <w:color w:val="000000"/>
          <w:sz w:val="20"/>
          <w:szCs w:val="20"/>
          <w:lang w:eastAsia="it-IT"/>
        </w:rPr>
        <w:t>, di importo superiore a mille euro.</w:t>
      </w:r>
    </w:p>
    <w:p w:rsidR="0051642D" w:rsidRPr="008C3819" w:rsidRDefault="0051642D" w:rsidP="005164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8C3819">
        <w:rPr>
          <w:rFonts w:ascii="Tahoma" w:eastAsia="Times New Roman" w:hAnsi="Tahoma" w:cs="Tahoma"/>
          <w:color w:val="000000"/>
          <w:sz w:val="20"/>
          <w:szCs w:val="20"/>
          <w:lang w:eastAsia="it-IT"/>
        </w:rPr>
        <w:t>3. La pubblicazione ai sensi del presente articolo costituisce condizione legale di efficacia dei provvedimenti che dispongano concessioni e attribuzioni di importo complessivo superiore a mille euro nel corso dell'anno solare al medesimo beneficiario; la sua eventuale omissione o incompletezza è rilevata d'ufficio dagli organi dirigenziali, sotto la propria responsabilità amministrativa, patrimoniale e contabile per l'indebita concessione o attribuzione del beneficio economico. La mancata, incompleta o ritardata pubblicazione rilevata d'ufficio dagli organi di controllo è altresì rilevabile dal destinatario della prevista concessione o attribuzione e da chiunque altro abbia interesse, anche ai fini del risarcimento del danno da ritardo da parte dell'amministrazione, ai sensi dell'</w:t>
      </w:r>
      <w:hyperlink r:id="rId6" w:anchor="030" w:history="1">
        <w:r w:rsidRPr="008C3819">
          <w:rPr>
            <w:rFonts w:ascii="Tahoma" w:eastAsia="Times New Roman" w:hAnsi="Tahoma" w:cs="Tahoma"/>
            <w:color w:val="0000FF"/>
            <w:sz w:val="20"/>
            <w:u w:val="single"/>
            <w:lang w:eastAsia="it-IT"/>
          </w:rPr>
          <w:t>articolo 30 del decreto legislativo 2 luglio 2010, n. 104</w:t>
        </w:r>
      </w:hyperlink>
      <w:r w:rsidRPr="008C3819">
        <w:rPr>
          <w:rFonts w:ascii="Tahoma" w:eastAsia="Times New Roman" w:hAnsi="Tahoma" w:cs="Tahoma"/>
          <w:color w:val="000000"/>
          <w:sz w:val="20"/>
          <w:szCs w:val="20"/>
          <w:lang w:eastAsia="it-IT"/>
        </w:rPr>
        <w:t>.</w:t>
      </w:r>
    </w:p>
    <w:p w:rsidR="0051642D" w:rsidRPr="008C3819" w:rsidRDefault="0051642D" w:rsidP="005164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8C3819">
        <w:rPr>
          <w:rFonts w:ascii="Tahoma" w:eastAsia="Times New Roman" w:hAnsi="Tahoma" w:cs="Tahoma"/>
          <w:color w:val="000000"/>
          <w:sz w:val="20"/>
          <w:szCs w:val="20"/>
          <w:lang w:eastAsia="it-IT"/>
        </w:rPr>
        <w:t>4. è esclusa la pubblicazione dei dati identificativi delle persone fisiche destinatarie dei provvedimenti di cui al presente articolo, qualora da tali dati sia possibile ricavare informazioni relative allo stato di salute ovvero alla situazione di disagio economico-sociale degli interessati.</w:t>
      </w:r>
    </w:p>
    <w:p w:rsidR="0051642D" w:rsidRPr="008C3819" w:rsidRDefault="0051642D" w:rsidP="005164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8C3819">
        <w:rPr>
          <w:rFonts w:ascii="Tahoma" w:eastAsia="Times New Roman" w:hAnsi="Tahoma" w:cs="Tahoma"/>
          <w:b/>
          <w:bCs/>
          <w:color w:val="000000"/>
          <w:sz w:val="20"/>
          <w:szCs w:val="20"/>
          <w:lang w:eastAsia="it-IT"/>
        </w:rPr>
        <w:t>Art.</w:t>
      </w:r>
      <w:r w:rsidRPr="008C3819">
        <w:rPr>
          <w:rFonts w:ascii="Tahoma" w:eastAsia="Times New Roman" w:hAnsi="Tahoma" w:cs="Tahoma"/>
          <w:b/>
          <w:bCs/>
          <w:color w:val="000000"/>
          <w:sz w:val="20"/>
          <w:lang w:eastAsia="it-IT"/>
        </w:rPr>
        <w:t> </w:t>
      </w:r>
      <w:bookmarkStart w:id="1" w:name="27"/>
      <w:r w:rsidRPr="008C3819">
        <w:rPr>
          <w:rFonts w:ascii="Tahoma" w:eastAsia="Times New Roman" w:hAnsi="Tahoma" w:cs="Tahoma"/>
          <w:b/>
          <w:bCs/>
          <w:color w:val="000000"/>
          <w:sz w:val="20"/>
          <w:szCs w:val="20"/>
          <w:lang w:eastAsia="it-IT"/>
        </w:rPr>
        <w:t>27</w:t>
      </w:r>
      <w:bookmarkEnd w:id="1"/>
      <w:r w:rsidRPr="008C3819">
        <w:rPr>
          <w:rFonts w:ascii="Tahoma" w:eastAsia="Times New Roman" w:hAnsi="Tahoma" w:cs="Tahoma"/>
          <w:b/>
          <w:bCs/>
          <w:color w:val="000000"/>
          <w:sz w:val="20"/>
          <w:szCs w:val="20"/>
          <w:lang w:eastAsia="it-IT"/>
        </w:rPr>
        <w:t>. Obblighi di pubblicazione dell'elenco dei soggetti beneficiari</w:t>
      </w:r>
      <w:r w:rsidRPr="008C3819">
        <w:rPr>
          <w:rFonts w:ascii="Tahoma" w:eastAsia="Times New Roman" w:hAnsi="Tahoma" w:cs="Tahoma"/>
          <w:b/>
          <w:bCs/>
          <w:color w:val="000000"/>
          <w:sz w:val="20"/>
          <w:lang w:eastAsia="it-IT"/>
        </w:rPr>
        <w:t> </w:t>
      </w:r>
      <w:r w:rsidRPr="008C3819">
        <w:rPr>
          <w:rFonts w:ascii="Tahoma" w:eastAsia="Times New Roman" w:hAnsi="Tahoma" w:cs="Tahoma"/>
          <w:color w:val="000000"/>
          <w:sz w:val="20"/>
          <w:szCs w:val="20"/>
          <w:lang w:eastAsia="it-IT"/>
        </w:rPr>
        <w:br/>
      </w:r>
      <w:r w:rsidRPr="008C3819">
        <w:rPr>
          <w:rFonts w:ascii="Tahoma" w:eastAsia="Times New Roman" w:hAnsi="Tahoma" w:cs="Tahoma"/>
          <w:color w:val="000000"/>
          <w:sz w:val="20"/>
          <w:szCs w:val="20"/>
          <w:lang w:eastAsia="it-IT"/>
        </w:rPr>
        <w:br/>
        <w:t>1. La pubblicazione di cui all'articolo 26, comma 2, comprende necessariamente, ai fini del comma 3 del medesimo articolo:</w:t>
      </w:r>
    </w:p>
    <w:p w:rsidR="0051642D" w:rsidRPr="008C3819" w:rsidRDefault="0051642D" w:rsidP="0051642D">
      <w:pPr>
        <w:spacing w:beforeAutospacing="1" w:after="100" w:afterAutospacing="1" w:line="240" w:lineRule="auto"/>
        <w:rPr>
          <w:rFonts w:ascii="Times New Roman" w:eastAsia="Times New Roman" w:hAnsi="Times New Roman" w:cs="Times New Roman"/>
          <w:color w:val="000000"/>
          <w:sz w:val="27"/>
          <w:szCs w:val="27"/>
          <w:lang w:eastAsia="it-IT"/>
        </w:rPr>
      </w:pPr>
      <w:r w:rsidRPr="008C3819">
        <w:rPr>
          <w:rFonts w:ascii="Tahoma" w:eastAsia="Times New Roman" w:hAnsi="Tahoma" w:cs="Tahoma"/>
          <w:color w:val="000000"/>
          <w:sz w:val="20"/>
          <w:szCs w:val="20"/>
          <w:lang w:eastAsia="it-IT"/>
        </w:rPr>
        <w:t>a) il nome dell'impresa o dell'ente e i rispettivi dati fiscali o il nome di altro soggetto beneficiario;</w:t>
      </w:r>
      <w:r w:rsidRPr="008C3819">
        <w:rPr>
          <w:rFonts w:ascii="Tahoma" w:eastAsia="Times New Roman" w:hAnsi="Tahoma" w:cs="Tahoma"/>
          <w:color w:val="000000"/>
          <w:sz w:val="20"/>
          <w:lang w:eastAsia="it-IT"/>
        </w:rPr>
        <w:t> </w:t>
      </w:r>
      <w:r w:rsidRPr="008C3819">
        <w:rPr>
          <w:rFonts w:ascii="Tahoma" w:eastAsia="Times New Roman" w:hAnsi="Tahoma" w:cs="Tahoma"/>
          <w:color w:val="000000"/>
          <w:sz w:val="20"/>
          <w:szCs w:val="20"/>
          <w:lang w:eastAsia="it-IT"/>
        </w:rPr>
        <w:br/>
        <w:t>b) l'importo del vantaggio economico corrisposto;</w:t>
      </w:r>
      <w:r w:rsidRPr="008C3819">
        <w:rPr>
          <w:rFonts w:ascii="Tahoma" w:eastAsia="Times New Roman" w:hAnsi="Tahoma" w:cs="Tahoma"/>
          <w:color w:val="000000"/>
          <w:sz w:val="20"/>
          <w:lang w:eastAsia="it-IT"/>
        </w:rPr>
        <w:t> </w:t>
      </w:r>
      <w:r w:rsidRPr="008C3819">
        <w:rPr>
          <w:rFonts w:ascii="Tahoma" w:eastAsia="Times New Roman" w:hAnsi="Tahoma" w:cs="Tahoma"/>
          <w:color w:val="000000"/>
          <w:sz w:val="20"/>
          <w:szCs w:val="20"/>
          <w:lang w:eastAsia="it-IT"/>
        </w:rPr>
        <w:br/>
        <w:t>c) la norma o il titolo a base dell'attribuzione;</w:t>
      </w:r>
      <w:r w:rsidRPr="008C3819">
        <w:rPr>
          <w:rFonts w:ascii="Tahoma" w:eastAsia="Times New Roman" w:hAnsi="Tahoma" w:cs="Tahoma"/>
          <w:color w:val="000000"/>
          <w:sz w:val="20"/>
          <w:lang w:eastAsia="it-IT"/>
        </w:rPr>
        <w:t> </w:t>
      </w:r>
      <w:r w:rsidRPr="008C3819">
        <w:rPr>
          <w:rFonts w:ascii="Tahoma" w:eastAsia="Times New Roman" w:hAnsi="Tahoma" w:cs="Tahoma"/>
          <w:color w:val="000000"/>
          <w:sz w:val="20"/>
          <w:szCs w:val="20"/>
          <w:lang w:eastAsia="it-IT"/>
        </w:rPr>
        <w:br/>
        <w:t>d) l'ufficio e il funzionario o dirigente responsabile del relativo procedimento amministrativo;</w:t>
      </w:r>
      <w:r w:rsidRPr="008C3819">
        <w:rPr>
          <w:rFonts w:ascii="Tahoma" w:eastAsia="Times New Roman" w:hAnsi="Tahoma" w:cs="Tahoma"/>
          <w:color w:val="000000"/>
          <w:sz w:val="20"/>
          <w:lang w:eastAsia="it-IT"/>
        </w:rPr>
        <w:t> </w:t>
      </w:r>
      <w:r w:rsidRPr="008C3819">
        <w:rPr>
          <w:rFonts w:ascii="Tahoma" w:eastAsia="Times New Roman" w:hAnsi="Tahoma" w:cs="Tahoma"/>
          <w:color w:val="000000"/>
          <w:sz w:val="20"/>
          <w:szCs w:val="20"/>
          <w:lang w:eastAsia="it-IT"/>
        </w:rPr>
        <w:br/>
        <w:t>e) la modalità seguita per l'individuazione del beneficiario;</w:t>
      </w:r>
      <w:r w:rsidRPr="008C3819">
        <w:rPr>
          <w:rFonts w:ascii="Tahoma" w:eastAsia="Times New Roman" w:hAnsi="Tahoma" w:cs="Tahoma"/>
          <w:color w:val="000000"/>
          <w:sz w:val="20"/>
          <w:lang w:eastAsia="it-IT"/>
        </w:rPr>
        <w:t> </w:t>
      </w:r>
      <w:r w:rsidRPr="008C3819">
        <w:rPr>
          <w:rFonts w:ascii="Tahoma" w:eastAsia="Times New Roman" w:hAnsi="Tahoma" w:cs="Tahoma"/>
          <w:color w:val="000000"/>
          <w:sz w:val="20"/>
          <w:szCs w:val="20"/>
          <w:lang w:eastAsia="it-IT"/>
        </w:rPr>
        <w:br/>
        <w:t>f) il link al progetto selezionato e al curriculum del soggetto incaricato.</w:t>
      </w:r>
    </w:p>
    <w:p w:rsidR="0051642D" w:rsidRPr="008C3819" w:rsidRDefault="0051642D" w:rsidP="005164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8C3819">
        <w:rPr>
          <w:rFonts w:ascii="Tahoma" w:eastAsia="Times New Roman" w:hAnsi="Tahoma" w:cs="Tahoma"/>
          <w:color w:val="000000"/>
          <w:sz w:val="20"/>
          <w:szCs w:val="20"/>
          <w:lang w:eastAsia="it-IT"/>
        </w:rPr>
        <w:t>2. Le informazioni di cui al comma 1 sono riportate, nell'ambito della sezione «Amministrazione trasparente» e secondo modalità di facile consultazione, in formato tabellare aperto che ne consente l'esportazione, il trattamento e il riutilizzo ai sensi dell'</w:t>
      </w:r>
      <w:hyperlink r:id="rId7" w:anchor="07" w:history="1">
        <w:r w:rsidRPr="008C3819">
          <w:rPr>
            <w:rFonts w:ascii="Tahoma" w:eastAsia="Times New Roman" w:hAnsi="Tahoma" w:cs="Tahoma"/>
            <w:color w:val="0000FF"/>
            <w:sz w:val="20"/>
            <w:u w:val="single"/>
            <w:lang w:eastAsia="it-IT"/>
          </w:rPr>
          <w:t>articolo 7</w:t>
        </w:r>
      </w:hyperlink>
      <w:r w:rsidRPr="008C3819">
        <w:rPr>
          <w:rFonts w:ascii="Tahoma" w:eastAsia="Times New Roman" w:hAnsi="Tahoma" w:cs="Tahoma"/>
          <w:color w:val="000000"/>
          <w:sz w:val="20"/>
          <w:lang w:eastAsia="it-IT"/>
        </w:rPr>
        <w:t> </w:t>
      </w:r>
      <w:r w:rsidRPr="008C3819">
        <w:rPr>
          <w:rFonts w:ascii="Tahoma" w:eastAsia="Times New Roman" w:hAnsi="Tahoma" w:cs="Tahoma"/>
          <w:color w:val="000000"/>
          <w:sz w:val="20"/>
          <w:szCs w:val="20"/>
          <w:lang w:eastAsia="it-IT"/>
        </w:rPr>
        <w:t>e devono essere organizzate annualmente in unico elenco per singola amministrazione.</w:t>
      </w:r>
    </w:p>
    <w:p w:rsidR="00811FB9" w:rsidRDefault="00811FB9"/>
    <w:sectPr w:rsidR="00811FB9" w:rsidSect="00811FB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51642D"/>
    <w:rsid w:val="0051642D"/>
    <w:rsid w:val="00811FB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64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osettiegatti.eu/info/norme/statali/2013_0033.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settiegatti.eu/info/norme/statali/2010_0104.htm" TargetMode="External"/><Relationship Id="rId5" Type="http://schemas.openxmlformats.org/officeDocument/2006/relationships/hyperlink" Target="http://www.bosettiegatti.eu/info/norme/statali/1990_0241.htm" TargetMode="External"/><Relationship Id="rId4" Type="http://schemas.openxmlformats.org/officeDocument/2006/relationships/hyperlink" Target="http://www.bosettiegatti.eu/info/norme/statali/1990_0241.htm"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2013-11-30T17:12:00Z</dcterms:created>
  <dcterms:modified xsi:type="dcterms:W3CDTF">2013-11-30T17:12:00Z</dcterms:modified>
</cp:coreProperties>
</file>